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8218" w:type="dxa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218"/>
      </w:tblGrid>
      <w:tr w:rsidR="000D7239" w:rsidRPr="00A65C00" w:rsidTr="002907C8">
        <w:trPr>
          <w:trHeight w:val="548"/>
        </w:trPr>
        <w:tc>
          <w:tcPr>
            <w:tcW w:w="8218" w:type="dxa"/>
            <w:shd w:val="clear" w:color="auto" w:fill="auto"/>
          </w:tcPr>
          <w:p w:rsidR="000D7239" w:rsidRPr="00C72121" w:rsidRDefault="000D7239" w:rsidP="002907C8">
            <w:pPr>
              <w:spacing w:before="122" w:line="448" w:lineRule="auto"/>
              <w:ind w:right="-1"/>
              <w:jc w:val="center"/>
              <w:rPr>
                <w:rFonts w:ascii="Arial" w:hAnsi="Arial" w:cs="Arial"/>
                <w:b/>
                <w:sz w:val="24"/>
              </w:rPr>
            </w:pPr>
            <w:r w:rsidRPr="000D7239">
              <w:rPr>
                <w:rFonts w:ascii="Arial" w:hAnsi="Arial" w:cs="Arial"/>
                <w:b/>
                <w:sz w:val="24"/>
              </w:rPr>
              <w:t>ANEXO V – MANUAL DE PROCEDIMENTO DE SELEÇÃO INTERNA</w:t>
            </w:r>
          </w:p>
        </w:tc>
      </w:tr>
    </w:tbl>
    <w:p w:rsidR="00A9325A" w:rsidRDefault="00A9325A" w:rsidP="002907C8">
      <w:pPr>
        <w:ind w:right="-1"/>
      </w:pPr>
    </w:p>
    <w:p w:rsidR="000D7239" w:rsidRPr="005F2EAB" w:rsidRDefault="000D7239" w:rsidP="002907C8">
      <w:pPr>
        <w:pStyle w:val="PargrafodaLista"/>
        <w:numPr>
          <w:ilvl w:val="0"/>
          <w:numId w:val="2"/>
        </w:numPr>
        <w:tabs>
          <w:tab w:val="left" w:pos="284"/>
        </w:tabs>
        <w:spacing w:before="240" w:line="360" w:lineRule="auto"/>
        <w:ind w:left="0" w:right="-1" w:firstLine="0"/>
        <w:jc w:val="both"/>
        <w:outlineLvl w:val="0"/>
        <w:rPr>
          <w:rFonts w:ascii="Arial" w:hAnsi="Arial" w:cs="Arial"/>
          <w:b/>
          <w:bCs/>
        </w:rPr>
      </w:pPr>
      <w:r w:rsidRPr="005F2EAB">
        <w:rPr>
          <w:rFonts w:ascii="Arial" w:hAnsi="Arial" w:cs="Arial"/>
          <w:b/>
          <w:bCs/>
        </w:rPr>
        <w:t>DISPOSIÇÕES GERAIS</w:t>
      </w:r>
    </w:p>
    <w:p w:rsidR="000D7239" w:rsidRDefault="000D7239" w:rsidP="002907C8">
      <w:pPr>
        <w:pStyle w:val="Tpico2"/>
        <w:tabs>
          <w:tab w:val="clear" w:pos="1033"/>
          <w:tab w:val="left" w:pos="567"/>
        </w:tabs>
        <w:ind w:left="0" w:right="-1" w:firstLine="0"/>
      </w:pPr>
      <w:bookmarkStart w:id="0" w:name="_bookmark0"/>
      <w:bookmarkEnd w:id="0"/>
      <w:r>
        <w:t xml:space="preserve">O presente Manual disciplina, de forma complementar, os procedimentos de acionamento, distribuição e seleção interna das demandas entre as agências de propaganda contratadas pelo Conselho Regional de Medicina do Estado do Paraná </w:t>
      </w:r>
      <w:r w:rsidR="00E94853">
        <w:t>(</w:t>
      </w:r>
      <w:r>
        <w:t>CRM-PR</w:t>
      </w:r>
      <w:r w:rsidR="00E94853">
        <w:t>)</w:t>
      </w:r>
      <w:r>
        <w:t>, no âmbito da Concorrência nº 001/2026.</w:t>
      </w:r>
    </w:p>
    <w:p w:rsidR="000D7239" w:rsidRDefault="000D7239" w:rsidP="002907C8">
      <w:pPr>
        <w:pStyle w:val="Tpico2"/>
        <w:tabs>
          <w:tab w:val="clear" w:pos="1033"/>
          <w:tab w:val="left" w:pos="567"/>
        </w:tabs>
        <w:ind w:left="0" w:right="-1" w:firstLine="0"/>
      </w:pPr>
      <w:r>
        <w:t>A contratação de 2 (duas) agências de propaganda tem por finalidade ampliar a capacidade técnica, criativa e operacional do CRM-PR, permitindo à Administração selecionar, a cada demanda, a solução publicitária mais adequada ao interesse institucional, observadas as características, a complexidade, a oportunidade, a urgência, a continuidade técnica e os objetivos de comunicação envolvidos.</w:t>
      </w:r>
    </w:p>
    <w:p w:rsidR="000D7239" w:rsidRDefault="000D7239" w:rsidP="002907C8">
      <w:pPr>
        <w:pStyle w:val="Tpico2"/>
        <w:tabs>
          <w:tab w:val="clear" w:pos="1033"/>
          <w:tab w:val="left" w:pos="567"/>
        </w:tabs>
        <w:ind w:left="0" w:right="-1" w:firstLine="0"/>
      </w:pPr>
      <w:r>
        <w:t>A distribuição das demandas entre as agências contratadas não observará, necessariamente, critério de rodízio, proporcionalidade, alternância obrigatória ou divisão equitativa de valores, inexistindo direito subjetivo de qualquer contratada à execução de parcela mínima, fixa ou proporcional do contrato.</w:t>
      </w:r>
    </w:p>
    <w:p w:rsidR="000D7239" w:rsidRDefault="000D7239" w:rsidP="002907C8">
      <w:pPr>
        <w:pStyle w:val="Tpico2"/>
        <w:tabs>
          <w:tab w:val="clear" w:pos="1033"/>
          <w:tab w:val="left" w:pos="567"/>
        </w:tabs>
        <w:ind w:left="0" w:right="-1" w:firstLine="0"/>
      </w:pPr>
      <w:r>
        <w:t>A escolha da agência responsável por determinada demanda observará juízo técnico-discricionário da Administração, devidamente motivado, com base em critérios compatíveis com a natureza da demanda e com o interesse público envolvido.</w:t>
      </w:r>
    </w:p>
    <w:p w:rsidR="000D7239" w:rsidRDefault="000D7239" w:rsidP="002907C8">
      <w:pPr>
        <w:pStyle w:val="Tpico2"/>
        <w:tabs>
          <w:tab w:val="clear" w:pos="1033"/>
          <w:tab w:val="left" w:pos="567"/>
        </w:tabs>
        <w:ind w:left="0" w:right="-1" w:firstLine="0"/>
      </w:pPr>
      <w:r>
        <w:t xml:space="preserve">A aplicação deste Manual deverá observar os princípios da legalidade, impessoalidade, motivação, eficiência, economicidade, razoabilidade, proporcionalidade, transparência e interesse público, sem prejuízo das disposições constantes do Edital, do Termo de Referência, da Minuta de Contrato, das ordens de serviço, dos </w:t>
      </w:r>
      <w:r w:rsidRPr="000D7239">
        <w:rPr>
          <w:i/>
          <w:iCs/>
        </w:rPr>
        <w:t>briefings</w:t>
      </w:r>
      <w:r>
        <w:t xml:space="preserve"> e dos demais documentos integrantes da contratação.</w:t>
      </w:r>
    </w:p>
    <w:p w:rsidR="00E94853" w:rsidRDefault="00E94853" w:rsidP="00E94853">
      <w:pPr>
        <w:pStyle w:val="Tpico2"/>
        <w:numPr>
          <w:ilvl w:val="0"/>
          <w:numId w:val="0"/>
        </w:numPr>
        <w:tabs>
          <w:tab w:val="clear" w:pos="1033"/>
          <w:tab w:val="left" w:pos="567"/>
        </w:tabs>
        <w:ind w:right="-1"/>
      </w:pPr>
    </w:p>
    <w:p w:rsidR="000D7239" w:rsidRPr="005F2EAB" w:rsidRDefault="000D7239" w:rsidP="002907C8">
      <w:pPr>
        <w:pStyle w:val="PargrafodaLista"/>
        <w:numPr>
          <w:ilvl w:val="0"/>
          <w:numId w:val="2"/>
        </w:numPr>
        <w:tabs>
          <w:tab w:val="left" w:pos="284"/>
        </w:tabs>
        <w:spacing w:before="240" w:line="360" w:lineRule="auto"/>
        <w:ind w:left="0" w:right="-1" w:firstLine="0"/>
        <w:jc w:val="both"/>
        <w:outlineLvl w:val="0"/>
        <w:rPr>
          <w:rFonts w:ascii="Arial" w:hAnsi="Arial" w:cs="Arial"/>
          <w:b/>
          <w:bCs/>
        </w:rPr>
      </w:pPr>
      <w:r w:rsidRPr="000D7239">
        <w:rPr>
          <w:rFonts w:ascii="Arial" w:hAnsi="Arial" w:cs="Arial"/>
          <w:b/>
          <w:bCs/>
        </w:rPr>
        <w:lastRenderedPageBreak/>
        <w:t>FORMAS DE ACIONAMENTO DAS AGÊNCIAS</w:t>
      </w:r>
      <w:r>
        <w:rPr>
          <w:rFonts w:ascii="Arial" w:hAnsi="Arial" w:cs="Arial"/>
          <w:b/>
          <w:bCs/>
        </w:rPr>
        <w:t xml:space="preserve"> </w:t>
      </w:r>
    </w:p>
    <w:p w:rsidR="000D7239" w:rsidRPr="005F2EAB" w:rsidRDefault="000D7239" w:rsidP="002907C8">
      <w:pPr>
        <w:pStyle w:val="PargrafodaLista"/>
        <w:numPr>
          <w:ilvl w:val="0"/>
          <w:numId w:val="1"/>
        </w:numPr>
        <w:tabs>
          <w:tab w:val="left" w:pos="1033"/>
        </w:tabs>
        <w:spacing w:before="121" w:line="360" w:lineRule="auto"/>
        <w:ind w:left="0" w:right="-1"/>
        <w:contextualSpacing w:val="0"/>
        <w:jc w:val="both"/>
        <w:rPr>
          <w:rFonts w:ascii="Arial" w:hAnsi="Arial" w:cs="Arial"/>
          <w:vanish/>
        </w:rPr>
      </w:pPr>
    </w:p>
    <w:p w:rsidR="000D7239" w:rsidRDefault="000D7239" w:rsidP="002907C8">
      <w:pPr>
        <w:pStyle w:val="Tpico2"/>
        <w:tabs>
          <w:tab w:val="clear" w:pos="1033"/>
          <w:tab w:val="left" w:pos="567"/>
        </w:tabs>
        <w:ind w:left="0" w:right="-1" w:firstLine="0"/>
      </w:pPr>
      <w:r>
        <w:t>As demandas de publicidade poderão ser atribuídas às agências contratadas por uma das seguintes formas:</w:t>
      </w:r>
    </w:p>
    <w:p w:rsidR="000D7239" w:rsidRPr="002907C8" w:rsidRDefault="000D7239" w:rsidP="002907C8">
      <w:pPr>
        <w:pStyle w:val="Tpico3"/>
        <w:tabs>
          <w:tab w:val="clear" w:pos="1033"/>
          <w:tab w:val="left" w:pos="709"/>
          <w:tab w:val="left" w:pos="1276"/>
        </w:tabs>
        <w:ind w:left="567" w:right="-1" w:firstLine="0"/>
        <w:rPr>
          <w:iCs/>
          <w:lang w:val="pt-BR"/>
        </w:rPr>
      </w:pPr>
      <w:proofErr w:type="gramStart"/>
      <w:r w:rsidRPr="002907C8">
        <w:rPr>
          <w:iCs/>
          <w:lang w:val="pt-BR"/>
        </w:rPr>
        <w:t>acionamento</w:t>
      </w:r>
      <w:proofErr w:type="gramEnd"/>
      <w:r w:rsidRPr="002907C8">
        <w:rPr>
          <w:iCs/>
          <w:lang w:val="pt-BR"/>
        </w:rPr>
        <w:t xml:space="preserve"> direto motivado;</w:t>
      </w:r>
    </w:p>
    <w:p w:rsidR="000D7239" w:rsidRPr="002907C8" w:rsidRDefault="000D7239" w:rsidP="002907C8">
      <w:pPr>
        <w:pStyle w:val="Tpico3"/>
        <w:tabs>
          <w:tab w:val="clear" w:pos="1033"/>
          <w:tab w:val="left" w:pos="709"/>
          <w:tab w:val="left" w:pos="1276"/>
        </w:tabs>
        <w:ind w:left="567" w:right="-1" w:firstLine="0"/>
        <w:rPr>
          <w:iCs/>
          <w:lang w:val="pt-BR"/>
        </w:rPr>
      </w:pPr>
      <w:proofErr w:type="gramStart"/>
      <w:r w:rsidRPr="002907C8">
        <w:rPr>
          <w:iCs/>
          <w:lang w:val="pt-BR"/>
        </w:rPr>
        <w:t>consulta</w:t>
      </w:r>
      <w:proofErr w:type="gramEnd"/>
      <w:r w:rsidRPr="002907C8">
        <w:rPr>
          <w:iCs/>
          <w:lang w:val="pt-BR"/>
        </w:rPr>
        <w:t xml:space="preserve"> comparativa entre as agências contratadas;</w:t>
      </w:r>
    </w:p>
    <w:p w:rsidR="000D7239" w:rsidRPr="002907C8" w:rsidRDefault="000D7239" w:rsidP="002907C8">
      <w:pPr>
        <w:pStyle w:val="Tpico3"/>
        <w:tabs>
          <w:tab w:val="clear" w:pos="1033"/>
          <w:tab w:val="left" w:pos="709"/>
          <w:tab w:val="left" w:pos="1276"/>
        </w:tabs>
        <w:ind w:left="567" w:right="-1" w:firstLine="0"/>
        <w:rPr>
          <w:iCs/>
          <w:lang w:val="pt-BR"/>
        </w:rPr>
      </w:pPr>
      <w:proofErr w:type="gramStart"/>
      <w:r w:rsidRPr="002907C8">
        <w:rPr>
          <w:iCs/>
          <w:lang w:val="pt-BR"/>
        </w:rPr>
        <w:t>divisão</w:t>
      </w:r>
      <w:proofErr w:type="gramEnd"/>
      <w:r w:rsidRPr="002907C8">
        <w:rPr>
          <w:iCs/>
          <w:lang w:val="pt-BR"/>
        </w:rPr>
        <w:t xml:space="preserve"> de demanda entre as agências, quando técnica ou operacionalmente possível;</w:t>
      </w:r>
    </w:p>
    <w:p w:rsidR="000D7239" w:rsidRPr="002907C8" w:rsidRDefault="000D7239" w:rsidP="002907C8">
      <w:pPr>
        <w:pStyle w:val="Tpico3"/>
        <w:tabs>
          <w:tab w:val="clear" w:pos="1033"/>
          <w:tab w:val="left" w:pos="709"/>
          <w:tab w:val="left" w:pos="1276"/>
        </w:tabs>
        <w:ind w:left="567" w:right="-1" w:firstLine="0"/>
        <w:rPr>
          <w:iCs/>
          <w:lang w:val="pt-BR"/>
        </w:rPr>
      </w:pPr>
      <w:proofErr w:type="gramStart"/>
      <w:r w:rsidRPr="002907C8">
        <w:rPr>
          <w:iCs/>
          <w:lang w:val="pt-BR"/>
        </w:rPr>
        <w:t>continuidade</w:t>
      </w:r>
      <w:proofErr w:type="gramEnd"/>
      <w:r w:rsidRPr="002907C8">
        <w:rPr>
          <w:iCs/>
          <w:lang w:val="pt-BR"/>
        </w:rPr>
        <w:t xml:space="preserve"> técnica de ação, campanha, conceito, estratégia ou solução anteriormente desenvolvida.</w:t>
      </w:r>
    </w:p>
    <w:p w:rsidR="000D7239" w:rsidRDefault="000D7239" w:rsidP="002907C8">
      <w:pPr>
        <w:pStyle w:val="Tpico2"/>
        <w:tabs>
          <w:tab w:val="clear" w:pos="1033"/>
          <w:tab w:val="left" w:pos="567"/>
        </w:tabs>
        <w:ind w:left="0" w:right="-1" w:firstLine="0"/>
      </w:pPr>
      <w:r>
        <w:t>A definição da forma de acionamento caberá à unidade responsável pela comunicação institucional do CRM-PR, em articulação com a gestão e fiscalização do contrato, considerando as especificidades da demanda e a melhor forma de atendimento ao interesse institucional.</w:t>
      </w:r>
    </w:p>
    <w:p w:rsidR="000D7239" w:rsidRPr="005F2EAB" w:rsidRDefault="000D7239" w:rsidP="002907C8">
      <w:pPr>
        <w:pStyle w:val="PargrafodaLista"/>
        <w:numPr>
          <w:ilvl w:val="0"/>
          <w:numId w:val="2"/>
        </w:numPr>
        <w:tabs>
          <w:tab w:val="left" w:pos="284"/>
        </w:tabs>
        <w:spacing w:before="240" w:line="360" w:lineRule="auto"/>
        <w:ind w:left="0" w:right="-1" w:firstLine="0"/>
        <w:jc w:val="both"/>
        <w:outlineLvl w:val="0"/>
        <w:rPr>
          <w:rFonts w:ascii="Arial" w:hAnsi="Arial" w:cs="Arial"/>
          <w:b/>
          <w:bCs/>
        </w:rPr>
      </w:pPr>
      <w:r w:rsidRPr="000D7239">
        <w:rPr>
          <w:rFonts w:ascii="Arial" w:hAnsi="Arial" w:cs="Arial"/>
          <w:b/>
          <w:bCs/>
        </w:rPr>
        <w:t>ACIONAMENTO DIRETO MOTIVADO</w:t>
      </w:r>
      <w:r>
        <w:rPr>
          <w:rFonts w:ascii="Arial" w:hAnsi="Arial" w:cs="Arial"/>
          <w:b/>
          <w:bCs/>
        </w:rPr>
        <w:t xml:space="preserve"> </w:t>
      </w:r>
    </w:p>
    <w:p w:rsidR="000D7239" w:rsidRPr="005F2EAB" w:rsidRDefault="000D7239" w:rsidP="002907C8">
      <w:pPr>
        <w:pStyle w:val="PargrafodaLista"/>
        <w:numPr>
          <w:ilvl w:val="0"/>
          <w:numId w:val="1"/>
        </w:numPr>
        <w:tabs>
          <w:tab w:val="left" w:pos="1033"/>
        </w:tabs>
        <w:spacing w:before="121" w:line="360" w:lineRule="auto"/>
        <w:ind w:left="0" w:right="-1"/>
        <w:contextualSpacing w:val="0"/>
        <w:jc w:val="both"/>
        <w:rPr>
          <w:rFonts w:ascii="Arial" w:hAnsi="Arial" w:cs="Arial"/>
          <w:vanish/>
        </w:rPr>
      </w:pPr>
    </w:p>
    <w:p w:rsidR="000D7239" w:rsidRDefault="000D7239" w:rsidP="002907C8">
      <w:pPr>
        <w:pStyle w:val="Tpico2"/>
        <w:tabs>
          <w:tab w:val="clear" w:pos="1033"/>
          <w:tab w:val="left" w:pos="567"/>
        </w:tabs>
        <w:ind w:left="0" w:right="-1" w:firstLine="0"/>
      </w:pPr>
      <w:r>
        <w:t>O CRM-PR poderá acionar diretamente uma das agências contratadas sempre que, diante das características da demanda, entender que a escolha direta é a forma mais adequada, eficiente ou oportuna para atendimento da necessidade administrativa.</w:t>
      </w:r>
    </w:p>
    <w:p w:rsidR="000D7239" w:rsidRDefault="000D7239" w:rsidP="002907C8">
      <w:pPr>
        <w:pStyle w:val="Tpico2"/>
        <w:tabs>
          <w:tab w:val="clear" w:pos="1033"/>
          <w:tab w:val="left" w:pos="567"/>
        </w:tabs>
        <w:ind w:left="0" w:right="-1" w:firstLine="0"/>
      </w:pPr>
      <w:r>
        <w:t>O acionamento direto poderá ser adotado, entre outras hipóteses, quando houver:</w:t>
      </w:r>
    </w:p>
    <w:p w:rsidR="000D7239" w:rsidRPr="002907C8" w:rsidRDefault="000D7239" w:rsidP="002907C8">
      <w:pPr>
        <w:pStyle w:val="Tpico3"/>
        <w:tabs>
          <w:tab w:val="clear" w:pos="1033"/>
          <w:tab w:val="left" w:pos="709"/>
          <w:tab w:val="left" w:pos="1276"/>
        </w:tabs>
        <w:ind w:left="567" w:right="-1" w:firstLine="0"/>
        <w:rPr>
          <w:iCs/>
          <w:lang w:val="pt-BR"/>
        </w:rPr>
      </w:pPr>
      <w:r w:rsidRPr="002907C8">
        <w:rPr>
          <w:iCs/>
          <w:lang w:val="pt-BR"/>
        </w:rPr>
        <w:t>urgência ou necessidade de resposta em prazo reduzido;</w:t>
      </w:r>
    </w:p>
    <w:p w:rsidR="000D7239" w:rsidRPr="002907C8" w:rsidRDefault="000D7239" w:rsidP="002907C8">
      <w:pPr>
        <w:pStyle w:val="Tpico3"/>
        <w:tabs>
          <w:tab w:val="clear" w:pos="1033"/>
          <w:tab w:val="left" w:pos="709"/>
          <w:tab w:val="left" w:pos="1276"/>
        </w:tabs>
        <w:ind w:left="567" w:right="-1" w:firstLine="0"/>
        <w:rPr>
          <w:iCs/>
          <w:lang w:val="pt-BR"/>
        </w:rPr>
      </w:pPr>
      <w:r w:rsidRPr="002907C8">
        <w:rPr>
          <w:iCs/>
          <w:lang w:val="pt-BR"/>
        </w:rPr>
        <w:t>continuidade técnica, criativa, estratégica ou operacional de ação anteriormente desenvolvida pela agência;</w:t>
      </w:r>
    </w:p>
    <w:p w:rsidR="000D7239" w:rsidRPr="002907C8" w:rsidRDefault="000D7239" w:rsidP="002907C8">
      <w:pPr>
        <w:pStyle w:val="Tpico3"/>
        <w:tabs>
          <w:tab w:val="clear" w:pos="1033"/>
          <w:tab w:val="left" w:pos="709"/>
          <w:tab w:val="left" w:pos="1276"/>
        </w:tabs>
        <w:ind w:left="567" w:right="-1" w:firstLine="0"/>
        <w:rPr>
          <w:iCs/>
          <w:lang w:val="pt-BR"/>
        </w:rPr>
      </w:pPr>
      <w:r w:rsidRPr="002907C8">
        <w:rPr>
          <w:iCs/>
          <w:lang w:val="pt-BR"/>
        </w:rPr>
        <w:t>necessidade de manutenção de unidade conceitual, identidade visual, linguagem, narrativa ou linha criativa;</w:t>
      </w:r>
    </w:p>
    <w:p w:rsidR="000D7239" w:rsidRPr="002907C8" w:rsidRDefault="000D7239" w:rsidP="002907C8">
      <w:pPr>
        <w:pStyle w:val="Tpico3"/>
        <w:tabs>
          <w:tab w:val="clear" w:pos="1033"/>
          <w:tab w:val="left" w:pos="709"/>
          <w:tab w:val="left" w:pos="1276"/>
        </w:tabs>
        <w:ind w:left="567" w:right="-1" w:firstLine="0"/>
        <w:rPr>
          <w:iCs/>
          <w:lang w:val="pt-BR"/>
        </w:rPr>
      </w:pPr>
      <w:r w:rsidRPr="002907C8">
        <w:rPr>
          <w:iCs/>
          <w:lang w:val="pt-BR"/>
        </w:rPr>
        <w:t>melhor aderência da agência a determinado tema, público, canal, formato, campanha ou desafio de comunicação;</w:t>
      </w:r>
    </w:p>
    <w:p w:rsidR="000D7239" w:rsidRPr="002907C8" w:rsidRDefault="000D7239" w:rsidP="002907C8">
      <w:pPr>
        <w:pStyle w:val="Tpico3"/>
        <w:tabs>
          <w:tab w:val="clear" w:pos="1033"/>
          <w:tab w:val="left" w:pos="709"/>
          <w:tab w:val="left" w:pos="1276"/>
        </w:tabs>
        <w:ind w:left="567" w:right="-1" w:firstLine="0"/>
        <w:rPr>
          <w:iCs/>
          <w:lang w:val="pt-BR"/>
        </w:rPr>
      </w:pPr>
      <w:r w:rsidRPr="002907C8">
        <w:rPr>
          <w:iCs/>
          <w:lang w:val="pt-BR"/>
        </w:rPr>
        <w:lastRenderedPageBreak/>
        <w:t>desempenho anterior satisfatório em demandas semelhantes, no âmbito da execução contratual;</w:t>
      </w:r>
    </w:p>
    <w:p w:rsidR="000D7239" w:rsidRPr="002907C8" w:rsidRDefault="000D7239" w:rsidP="002907C8">
      <w:pPr>
        <w:pStyle w:val="Tpico3"/>
        <w:tabs>
          <w:tab w:val="clear" w:pos="1033"/>
          <w:tab w:val="left" w:pos="709"/>
          <w:tab w:val="left" w:pos="1276"/>
        </w:tabs>
        <w:ind w:left="567" w:right="-1" w:firstLine="0"/>
        <w:rPr>
          <w:iCs/>
          <w:lang w:val="pt-BR"/>
        </w:rPr>
      </w:pPr>
      <w:r w:rsidRPr="002907C8">
        <w:rPr>
          <w:iCs/>
          <w:lang w:val="pt-BR"/>
        </w:rPr>
        <w:t>disponibilidade técnica ou operacional mais compatível com o prazo ou a complexidade da demanda;</w:t>
      </w:r>
    </w:p>
    <w:p w:rsidR="000D7239" w:rsidRPr="002907C8" w:rsidRDefault="000D7239" w:rsidP="002907C8">
      <w:pPr>
        <w:pStyle w:val="Tpico3"/>
        <w:tabs>
          <w:tab w:val="clear" w:pos="1033"/>
          <w:tab w:val="left" w:pos="709"/>
          <w:tab w:val="left" w:pos="1276"/>
        </w:tabs>
        <w:ind w:left="567" w:right="-1" w:firstLine="0"/>
        <w:rPr>
          <w:iCs/>
          <w:lang w:val="pt-BR"/>
        </w:rPr>
      </w:pPr>
      <w:r w:rsidRPr="002907C8">
        <w:rPr>
          <w:iCs/>
          <w:lang w:val="pt-BR"/>
        </w:rPr>
        <w:t>proposta, iniciativa, estudo ou solução previamente apresentada pela agência e considerada pertinente pelo CRM-PR;</w:t>
      </w:r>
    </w:p>
    <w:p w:rsidR="000D7239" w:rsidRPr="002907C8" w:rsidRDefault="000D7239" w:rsidP="002907C8">
      <w:pPr>
        <w:pStyle w:val="Tpico3"/>
        <w:tabs>
          <w:tab w:val="clear" w:pos="1033"/>
          <w:tab w:val="left" w:pos="709"/>
          <w:tab w:val="left" w:pos="1276"/>
        </w:tabs>
        <w:ind w:left="567" w:right="-1" w:firstLine="0"/>
        <w:rPr>
          <w:iCs/>
          <w:lang w:val="pt-BR"/>
        </w:rPr>
      </w:pPr>
      <w:r w:rsidRPr="002907C8">
        <w:rPr>
          <w:iCs/>
          <w:lang w:val="pt-BR"/>
        </w:rPr>
        <w:t>conveniência administrativa de preservar a coerência, a continuidade ou a tempestividade da comunicação institucional.</w:t>
      </w:r>
    </w:p>
    <w:p w:rsidR="000D7239" w:rsidRDefault="000D7239" w:rsidP="002907C8">
      <w:pPr>
        <w:pStyle w:val="Tpico2"/>
        <w:tabs>
          <w:tab w:val="clear" w:pos="1033"/>
          <w:tab w:val="left" w:pos="567"/>
        </w:tabs>
        <w:ind w:left="0" w:right="-1" w:firstLine="0"/>
      </w:pPr>
      <w:r>
        <w:t>O acionamento direto deverá ser acompanhado de registro sucinto da motivação, indicando a demanda, a agência selecionada e a razão técnica, estratégica, operacional ou institucional da escolha.</w:t>
      </w:r>
    </w:p>
    <w:p w:rsidR="000D7239" w:rsidRDefault="000D7239" w:rsidP="002907C8">
      <w:pPr>
        <w:pStyle w:val="Tpico2"/>
        <w:tabs>
          <w:tab w:val="clear" w:pos="1033"/>
          <w:tab w:val="left" w:pos="567"/>
        </w:tabs>
        <w:ind w:left="0" w:right="-1" w:firstLine="0"/>
      </w:pPr>
      <w:r>
        <w:t>A motivação não precisará adotar matriz de pontuação, formulário comparativo ou julgamento formal entre as agências, bastando a indicação objetiva das razões que justifiquem a escolha realizada.</w:t>
      </w:r>
    </w:p>
    <w:p w:rsidR="000D7239" w:rsidRPr="005F2EAB" w:rsidRDefault="000D7239" w:rsidP="002907C8">
      <w:pPr>
        <w:pStyle w:val="PargrafodaLista"/>
        <w:numPr>
          <w:ilvl w:val="0"/>
          <w:numId w:val="2"/>
        </w:numPr>
        <w:tabs>
          <w:tab w:val="left" w:pos="284"/>
        </w:tabs>
        <w:spacing w:before="240" w:line="360" w:lineRule="auto"/>
        <w:ind w:left="0" w:right="-1" w:firstLine="0"/>
        <w:jc w:val="both"/>
        <w:outlineLvl w:val="0"/>
        <w:rPr>
          <w:rFonts w:ascii="Arial" w:hAnsi="Arial" w:cs="Arial"/>
          <w:b/>
          <w:bCs/>
        </w:rPr>
      </w:pPr>
      <w:r w:rsidRPr="000D7239">
        <w:rPr>
          <w:rFonts w:ascii="Arial" w:hAnsi="Arial" w:cs="Arial"/>
          <w:b/>
          <w:bCs/>
        </w:rPr>
        <w:t>CONSULTA COMPARATIVA ENTRE AS AGÊNCIAS</w:t>
      </w:r>
      <w:r>
        <w:rPr>
          <w:rFonts w:ascii="Arial" w:hAnsi="Arial" w:cs="Arial"/>
          <w:b/>
          <w:bCs/>
        </w:rPr>
        <w:t xml:space="preserve"> </w:t>
      </w:r>
    </w:p>
    <w:p w:rsidR="000D7239" w:rsidRPr="005F2EAB" w:rsidRDefault="000D7239" w:rsidP="002907C8">
      <w:pPr>
        <w:pStyle w:val="PargrafodaLista"/>
        <w:numPr>
          <w:ilvl w:val="0"/>
          <w:numId w:val="1"/>
        </w:numPr>
        <w:tabs>
          <w:tab w:val="left" w:pos="1033"/>
        </w:tabs>
        <w:spacing w:before="121" w:line="360" w:lineRule="auto"/>
        <w:ind w:left="0" w:right="-1"/>
        <w:contextualSpacing w:val="0"/>
        <w:jc w:val="both"/>
        <w:rPr>
          <w:rFonts w:ascii="Arial" w:hAnsi="Arial" w:cs="Arial"/>
          <w:vanish/>
        </w:rPr>
      </w:pPr>
    </w:p>
    <w:p w:rsidR="000D7239" w:rsidRDefault="000D7239" w:rsidP="002907C8">
      <w:pPr>
        <w:pStyle w:val="Tpico2"/>
        <w:tabs>
          <w:tab w:val="clear" w:pos="1033"/>
          <w:tab w:val="left" w:pos="567"/>
        </w:tabs>
        <w:ind w:left="0" w:right="-1" w:firstLine="0"/>
      </w:pPr>
      <w:r>
        <w:t xml:space="preserve">Sempre que entender conveniente, o CRM-PR poderá encaminhar </w:t>
      </w:r>
      <w:r w:rsidRPr="0013744A">
        <w:rPr>
          <w:i/>
        </w:rPr>
        <w:t>briefing</w:t>
      </w:r>
      <w:r>
        <w:t xml:space="preserve"> ou solicitação de proposta às 2 (duas) agências contratadas, com a finalidade de comparar alternativas técnicas, criativas, estratégicas, operacionais ou orçamentárias para determinada demanda.</w:t>
      </w:r>
    </w:p>
    <w:p w:rsidR="000D7239" w:rsidRDefault="000D7239" w:rsidP="002907C8">
      <w:pPr>
        <w:pStyle w:val="Tpico2"/>
        <w:tabs>
          <w:tab w:val="clear" w:pos="1033"/>
          <w:tab w:val="left" w:pos="567"/>
        </w:tabs>
        <w:ind w:left="0" w:right="-1" w:firstLine="0"/>
      </w:pPr>
      <w:r>
        <w:t>A consulta comparativa poderá ser adotada, especialmente, em demandas de maior complexidade, maior relevância institucional, maior repercussão pública ou quando a Administração entender útil avaliar soluções distintas antes da definição da agência executora.</w:t>
      </w:r>
    </w:p>
    <w:p w:rsidR="000D7239" w:rsidRDefault="000D7239" w:rsidP="002907C8">
      <w:pPr>
        <w:pStyle w:val="Tpico2"/>
        <w:tabs>
          <w:tab w:val="clear" w:pos="1033"/>
          <w:tab w:val="left" w:pos="567"/>
        </w:tabs>
        <w:ind w:left="0" w:right="-1" w:firstLine="0"/>
      </w:pPr>
      <w:r>
        <w:t xml:space="preserve">O </w:t>
      </w:r>
      <w:r w:rsidRPr="0013744A">
        <w:rPr>
          <w:i/>
        </w:rPr>
        <w:t>briefing</w:t>
      </w:r>
      <w:r>
        <w:t xml:space="preserve"> poderá indicar, conforme o caso:</w:t>
      </w:r>
    </w:p>
    <w:p w:rsidR="000D7239" w:rsidRPr="002907C8" w:rsidRDefault="000D7239" w:rsidP="002907C8">
      <w:pPr>
        <w:pStyle w:val="Tpico3"/>
        <w:tabs>
          <w:tab w:val="clear" w:pos="1033"/>
          <w:tab w:val="left" w:pos="709"/>
          <w:tab w:val="left" w:pos="1276"/>
        </w:tabs>
        <w:ind w:left="567" w:right="-1" w:firstLine="0"/>
        <w:rPr>
          <w:iCs/>
          <w:lang w:val="pt-BR"/>
        </w:rPr>
      </w:pPr>
      <w:r w:rsidRPr="002907C8">
        <w:rPr>
          <w:iCs/>
          <w:lang w:val="pt-BR"/>
        </w:rPr>
        <w:t>contexto da demanda;</w:t>
      </w:r>
    </w:p>
    <w:p w:rsidR="000D7239" w:rsidRPr="002907C8" w:rsidRDefault="000D7239" w:rsidP="002907C8">
      <w:pPr>
        <w:pStyle w:val="Tpico3"/>
        <w:tabs>
          <w:tab w:val="clear" w:pos="1033"/>
          <w:tab w:val="left" w:pos="709"/>
          <w:tab w:val="left" w:pos="1276"/>
        </w:tabs>
        <w:ind w:left="567" w:right="-1" w:firstLine="0"/>
        <w:rPr>
          <w:iCs/>
          <w:lang w:val="pt-BR"/>
        </w:rPr>
      </w:pPr>
      <w:r w:rsidRPr="002907C8">
        <w:rPr>
          <w:iCs/>
          <w:lang w:val="pt-BR"/>
        </w:rPr>
        <w:t>objetivos de comunicação;</w:t>
      </w:r>
    </w:p>
    <w:p w:rsidR="000D7239" w:rsidRPr="002907C8" w:rsidRDefault="000D7239" w:rsidP="002907C8">
      <w:pPr>
        <w:pStyle w:val="Tpico3"/>
        <w:tabs>
          <w:tab w:val="clear" w:pos="1033"/>
          <w:tab w:val="left" w:pos="709"/>
          <w:tab w:val="left" w:pos="1276"/>
        </w:tabs>
        <w:ind w:left="567" w:right="-1" w:firstLine="0"/>
        <w:rPr>
          <w:iCs/>
          <w:lang w:val="pt-BR"/>
        </w:rPr>
      </w:pPr>
      <w:r w:rsidRPr="002907C8">
        <w:rPr>
          <w:iCs/>
          <w:lang w:val="pt-BR"/>
        </w:rPr>
        <w:t>público de interesse;</w:t>
      </w:r>
    </w:p>
    <w:p w:rsidR="000D7239" w:rsidRPr="002907C8" w:rsidRDefault="000D7239" w:rsidP="002907C8">
      <w:pPr>
        <w:pStyle w:val="Tpico3"/>
        <w:tabs>
          <w:tab w:val="clear" w:pos="1033"/>
          <w:tab w:val="left" w:pos="709"/>
          <w:tab w:val="left" w:pos="1276"/>
        </w:tabs>
        <w:ind w:left="567" w:right="-1" w:firstLine="0"/>
        <w:rPr>
          <w:iCs/>
          <w:lang w:val="pt-BR"/>
        </w:rPr>
      </w:pPr>
      <w:r w:rsidRPr="002907C8">
        <w:rPr>
          <w:iCs/>
          <w:lang w:val="pt-BR"/>
        </w:rPr>
        <w:t>prazo ou janela de oportunidade;</w:t>
      </w:r>
    </w:p>
    <w:p w:rsidR="000D7239" w:rsidRPr="002907C8" w:rsidRDefault="000D7239" w:rsidP="002907C8">
      <w:pPr>
        <w:pStyle w:val="Tpico3"/>
        <w:tabs>
          <w:tab w:val="clear" w:pos="1033"/>
          <w:tab w:val="left" w:pos="709"/>
          <w:tab w:val="left" w:pos="1276"/>
        </w:tabs>
        <w:ind w:left="567" w:right="-1" w:firstLine="0"/>
        <w:rPr>
          <w:iCs/>
          <w:lang w:val="pt-BR"/>
        </w:rPr>
      </w:pPr>
      <w:r w:rsidRPr="002907C8">
        <w:rPr>
          <w:iCs/>
          <w:lang w:val="pt-BR"/>
        </w:rPr>
        <w:lastRenderedPageBreak/>
        <w:t>verba ou faixa orçamentária estimada;</w:t>
      </w:r>
    </w:p>
    <w:p w:rsidR="000D7239" w:rsidRPr="002907C8" w:rsidRDefault="000D7239" w:rsidP="002907C8">
      <w:pPr>
        <w:pStyle w:val="Tpico3"/>
        <w:tabs>
          <w:tab w:val="clear" w:pos="1033"/>
          <w:tab w:val="left" w:pos="709"/>
          <w:tab w:val="left" w:pos="1276"/>
        </w:tabs>
        <w:ind w:left="567" w:right="-1" w:firstLine="0"/>
        <w:rPr>
          <w:iCs/>
          <w:lang w:val="pt-BR"/>
        </w:rPr>
      </w:pPr>
      <w:r w:rsidRPr="002907C8">
        <w:rPr>
          <w:iCs/>
          <w:lang w:val="pt-BR"/>
        </w:rPr>
        <w:t>elementos técnicos mínimos esperados;</w:t>
      </w:r>
    </w:p>
    <w:p w:rsidR="000D7239" w:rsidRPr="002907C8" w:rsidRDefault="000D7239" w:rsidP="002907C8">
      <w:pPr>
        <w:pStyle w:val="Tpico3"/>
        <w:tabs>
          <w:tab w:val="clear" w:pos="1033"/>
          <w:tab w:val="left" w:pos="709"/>
          <w:tab w:val="left" w:pos="1276"/>
        </w:tabs>
        <w:ind w:left="567" w:right="-1" w:firstLine="0"/>
        <w:rPr>
          <w:iCs/>
          <w:lang w:val="pt-BR"/>
        </w:rPr>
      </w:pPr>
      <w:r w:rsidRPr="002907C8">
        <w:rPr>
          <w:iCs/>
          <w:lang w:val="pt-BR"/>
        </w:rPr>
        <w:t>critérios preferenciais de análise.</w:t>
      </w:r>
    </w:p>
    <w:p w:rsidR="000D7239" w:rsidRDefault="000D7239" w:rsidP="002907C8">
      <w:pPr>
        <w:pStyle w:val="Tpico2"/>
        <w:tabs>
          <w:tab w:val="clear" w:pos="1033"/>
          <w:tab w:val="left" w:pos="567"/>
        </w:tabs>
        <w:ind w:left="0" w:right="-1" w:firstLine="0"/>
      </w:pPr>
      <w:r>
        <w:t>As propostas apresentadas serão avaliadas pela unidade responsável pela comunicação institucional do CRM-PR, com apoio da gestão e fiscalização do contrato, podendo ser ouvida a área demandante, quando pertinente.</w:t>
      </w:r>
    </w:p>
    <w:p w:rsidR="000D7239" w:rsidRDefault="000D7239" w:rsidP="002907C8">
      <w:pPr>
        <w:pStyle w:val="Tpico2"/>
        <w:tabs>
          <w:tab w:val="clear" w:pos="1033"/>
          <w:tab w:val="left" w:pos="567"/>
        </w:tabs>
        <w:ind w:left="0" w:right="-1" w:firstLine="0"/>
      </w:pPr>
      <w:r>
        <w:t>A escolha da proposta observará a solução considerada mais adequada ao interesse institucional do CRM-PR, podendo levar em conta, entre outros aspectos:</w:t>
      </w:r>
    </w:p>
    <w:p w:rsidR="000D7239" w:rsidRPr="002907C8" w:rsidRDefault="000D7239" w:rsidP="002907C8">
      <w:pPr>
        <w:pStyle w:val="Tpico3"/>
        <w:tabs>
          <w:tab w:val="clear" w:pos="1033"/>
          <w:tab w:val="left" w:pos="709"/>
          <w:tab w:val="left" w:pos="1276"/>
        </w:tabs>
        <w:ind w:left="567" w:right="-1" w:firstLine="0"/>
        <w:rPr>
          <w:iCs/>
          <w:lang w:val="pt-BR"/>
        </w:rPr>
      </w:pPr>
      <w:proofErr w:type="gramStart"/>
      <w:r w:rsidRPr="002907C8">
        <w:rPr>
          <w:iCs/>
          <w:lang w:val="pt-BR"/>
        </w:rPr>
        <w:t>aderência</w:t>
      </w:r>
      <w:proofErr w:type="gramEnd"/>
      <w:r w:rsidRPr="002907C8">
        <w:rPr>
          <w:iCs/>
          <w:lang w:val="pt-BR"/>
        </w:rPr>
        <w:t xml:space="preserve"> ao </w:t>
      </w:r>
      <w:r w:rsidRPr="0013744A">
        <w:rPr>
          <w:i/>
          <w:iCs/>
          <w:lang w:val="pt-BR"/>
        </w:rPr>
        <w:t>briefing</w:t>
      </w:r>
      <w:r w:rsidRPr="002907C8">
        <w:rPr>
          <w:iCs/>
          <w:lang w:val="pt-BR"/>
        </w:rPr>
        <w:t>;</w:t>
      </w:r>
    </w:p>
    <w:p w:rsidR="000D7239" w:rsidRPr="002907C8" w:rsidRDefault="000D7239" w:rsidP="002907C8">
      <w:pPr>
        <w:pStyle w:val="Tpico3"/>
        <w:tabs>
          <w:tab w:val="clear" w:pos="1033"/>
          <w:tab w:val="left" w:pos="709"/>
          <w:tab w:val="left" w:pos="1276"/>
        </w:tabs>
        <w:ind w:left="567" w:right="-1" w:firstLine="0"/>
        <w:rPr>
          <w:iCs/>
          <w:lang w:val="pt-BR"/>
        </w:rPr>
      </w:pPr>
      <w:r w:rsidRPr="002907C8">
        <w:rPr>
          <w:iCs/>
          <w:lang w:val="pt-BR"/>
        </w:rPr>
        <w:t>qualidade estratégica da solução;</w:t>
      </w:r>
    </w:p>
    <w:p w:rsidR="000D7239" w:rsidRPr="002907C8" w:rsidRDefault="000D7239" w:rsidP="002907C8">
      <w:pPr>
        <w:pStyle w:val="Tpico3"/>
        <w:tabs>
          <w:tab w:val="clear" w:pos="1033"/>
          <w:tab w:val="left" w:pos="709"/>
          <w:tab w:val="left" w:pos="1276"/>
        </w:tabs>
        <w:ind w:left="567" w:right="-1" w:firstLine="0"/>
        <w:rPr>
          <w:iCs/>
          <w:lang w:val="pt-BR"/>
        </w:rPr>
      </w:pPr>
      <w:r w:rsidRPr="002907C8">
        <w:rPr>
          <w:iCs/>
          <w:lang w:val="pt-BR"/>
        </w:rPr>
        <w:t>pertinência criativa;</w:t>
      </w:r>
    </w:p>
    <w:p w:rsidR="000D7239" w:rsidRPr="002907C8" w:rsidRDefault="000D7239" w:rsidP="002907C8">
      <w:pPr>
        <w:pStyle w:val="Tpico3"/>
        <w:tabs>
          <w:tab w:val="clear" w:pos="1033"/>
          <w:tab w:val="left" w:pos="709"/>
          <w:tab w:val="left" w:pos="1276"/>
        </w:tabs>
        <w:ind w:left="567" w:right="-1" w:firstLine="0"/>
        <w:rPr>
          <w:iCs/>
          <w:lang w:val="pt-BR"/>
        </w:rPr>
      </w:pPr>
      <w:r w:rsidRPr="002907C8">
        <w:rPr>
          <w:iCs/>
          <w:lang w:val="pt-BR"/>
        </w:rPr>
        <w:t>adequação ao público de interesse;</w:t>
      </w:r>
    </w:p>
    <w:p w:rsidR="000D7239" w:rsidRPr="002907C8" w:rsidRDefault="000D7239" w:rsidP="002907C8">
      <w:pPr>
        <w:pStyle w:val="Tpico3"/>
        <w:tabs>
          <w:tab w:val="clear" w:pos="1033"/>
          <w:tab w:val="left" w:pos="709"/>
          <w:tab w:val="left" w:pos="1276"/>
        </w:tabs>
        <w:ind w:left="567" w:right="-1" w:firstLine="0"/>
        <w:rPr>
          <w:iCs/>
          <w:lang w:val="pt-BR"/>
        </w:rPr>
      </w:pPr>
      <w:r w:rsidRPr="002907C8">
        <w:rPr>
          <w:iCs/>
          <w:lang w:val="pt-BR"/>
        </w:rPr>
        <w:t>viabilidade técnica e operacional;</w:t>
      </w:r>
    </w:p>
    <w:p w:rsidR="000D7239" w:rsidRPr="002907C8" w:rsidRDefault="000D7239" w:rsidP="002907C8">
      <w:pPr>
        <w:pStyle w:val="Tpico3"/>
        <w:tabs>
          <w:tab w:val="clear" w:pos="1033"/>
          <w:tab w:val="left" w:pos="709"/>
          <w:tab w:val="left" w:pos="1276"/>
        </w:tabs>
        <w:ind w:left="567" w:right="-1" w:firstLine="0"/>
        <w:rPr>
          <w:iCs/>
          <w:lang w:val="pt-BR"/>
        </w:rPr>
      </w:pPr>
      <w:r w:rsidRPr="002907C8">
        <w:rPr>
          <w:iCs/>
          <w:lang w:val="pt-BR"/>
        </w:rPr>
        <w:t>compatibilidade com o prazo;</w:t>
      </w:r>
    </w:p>
    <w:p w:rsidR="000D7239" w:rsidRPr="002907C8" w:rsidRDefault="000D7239" w:rsidP="002907C8">
      <w:pPr>
        <w:pStyle w:val="Tpico3"/>
        <w:tabs>
          <w:tab w:val="clear" w:pos="1033"/>
          <w:tab w:val="left" w:pos="709"/>
          <w:tab w:val="left" w:pos="1276"/>
        </w:tabs>
        <w:ind w:left="567" w:right="-1" w:firstLine="0"/>
        <w:rPr>
          <w:iCs/>
          <w:lang w:val="pt-BR"/>
        </w:rPr>
      </w:pPr>
      <w:r w:rsidRPr="002907C8">
        <w:rPr>
          <w:iCs/>
          <w:lang w:val="pt-BR"/>
        </w:rPr>
        <w:t>racionalidade orçamentária;</w:t>
      </w:r>
    </w:p>
    <w:p w:rsidR="000D7239" w:rsidRPr="002907C8" w:rsidRDefault="000D7239" w:rsidP="002907C8">
      <w:pPr>
        <w:pStyle w:val="Tpico3"/>
        <w:tabs>
          <w:tab w:val="clear" w:pos="1033"/>
          <w:tab w:val="left" w:pos="709"/>
          <w:tab w:val="left" w:pos="1276"/>
        </w:tabs>
        <w:ind w:left="567" w:right="-1" w:firstLine="0"/>
        <w:rPr>
          <w:iCs/>
          <w:lang w:val="pt-BR"/>
        </w:rPr>
      </w:pPr>
      <w:r w:rsidRPr="002907C8">
        <w:rPr>
          <w:iCs/>
          <w:lang w:val="pt-BR"/>
        </w:rPr>
        <w:t>capacidade de execução e comprovação das entregas;</w:t>
      </w:r>
    </w:p>
    <w:p w:rsidR="000D7239" w:rsidRPr="002907C8" w:rsidRDefault="000D7239" w:rsidP="002907C8">
      <w:pPr>
        <w:pStyle w:val="Tpico3"/>
        <w:tabs>
          <w:tab w:val="clear" w:pos="1033"/>
          <w:tab w:val="left" w:pos="709"/>
          <w:tab w:val="left" w:pos="1276"/>
        </w:tabs>
        <w:ind w:left="567" w:right="-1" w:firstLine="0"/>
        <w:rPr>
          <w:iCs/>
          <w:lang w:val="pt-BR"/>
        </w:rPr>
      </w:pPr>
      <w:r w:rsidRPr="002907C8">
        <w:rPr>
          <w:iCs/>
          <w:lang w:val="pt-BR"/>
        </w:rPr>
        <w:t>coerência com diretrizes institucionais do CRM-PR.</w:t>
      </w:r>
    </w:p>
    <w:p w:rsidR="000D7239" w:rsidRDefault="000D7239" w:rsidP="002907C8">
      <w:pPr>
        <w:pStyle w:val="Tpico2"/>
        <w:tabs>
          <w:tab w:val="clear" w:pos="1033"/>
          <w:tab w:val="left" w:pos="567"/>
        </w:tabs>
        <w:ind w:left="0" w:right="-1" w:firstLine="0"/>
      </w:pPr>
      <w:r>
        <w:t>A consulta comparativa não se confunde com nova licitação, não exige julgamento apócrifo, não exige comissão formal de avaliação e não obriga a Administração a selecionar proposta exclusivamente com base no menor custo.</w:t>
      </w:r>
    </w:p>
    <w:p w:rsidR="000D7239" w:rsidRDefault="000D7239" w:rsidP="002907C8">
      <w:pPr>
        <w:pStyle w:val="Tpico2"/>
        <w:tabs>
          <w:tab w:val="clear" w:pos="1033"/>
          <w:tab w:val="left" w:pos="567"/>
        </w:tabs>
        <w:ind w:left="0" w:right="-1" w:firstLine="0"/>
      </w:pPr>
      <w:r>
        <w:t>O resultado da consulta comparativa será registrado nos autos ou expediente próprio da demanda, com indicação da agência selecionada e síntese da motivação da escolha.</w:t>
      </w:r>
    </w:p>
    <w:p w:rsidR="000D7239" w:rsidRPr="005F2EAB" w:rsidRDefault="000D7239" w:rsidP="002907C8">
      <w:pPr>
        <w:pStyle w:val="PargrafodaLista"/>
        <w:numPr>
          <w:ilvl w:val="0"/>
          <w:numId w:val="2"/>
        </w:numPr>
        <w:tabs>
          <w:tab w:val="left" w:pos="284"/>
        </w:tabs>
        <w:spacing w:before="240" w:line="360" w:lineRule="auto"/>
        <w:ind w:left="0" w:right="-1" w:firstLine="0"/>
        <w:jc w:val="both"/>
        <w:outlineLvl w:val="0"/>
        <w:rPr>
          <w:rFonts w:ascii="Arial" w:hAnsi="Arial" w:cs="Arial"/>
          <w:b/>
          <w:bCs/>
        </w:rPr>
      </w:pPr>
      <w:r w:rsidRPr="000D7239">
        <w:rPr>
          <w:rFonts w:ascii="Arial" w:hAnsi="Arial" w:cs="Arial"/>
          <w:b/>
          <w:bCs/>
        </w:rPr>
        <w:t>DIVISÃO OU INTEGRAÇÃO DE DEMANDAS</w:t>
      </w:r>
      <w:r>
        <w:rPr>
          <w:rFonts w:ascii="Arial" w:hAnsi="Arial" w:cs="Arial"/>
          <w:b/>
          <w:bCs/>
        </w:rPr>
        <w:t xml:space="preserve"> </w:t>
      </w:r>
    </w:p>
    <w:p w:rsidR="000D7239" w:rsidRPr="005F2EAB" w:rsidRDefault="000D7239" w:rsidP="002907C8">
      <w:pPr>
        <w:pStyle w:val="PargrafodaLista"/>
        <w:numPr>
          <w:ilvl w:val="0"/>
          <w:numId w:val="1"/>
        </w:numPr>
        <w:tabs>
          <w:tab w:val="left" w:pos="1033"/>
        </w:tabs>
        <w:spacing w:before="121" w:line="360" w:lineRule="auto"/>
        <w:ind w:left="0" w:right="-1"/>
        <w:contextualSpacing w:val="0"/>
        <w:jc w:val="both"/>
        <w:rPr>
          <w:rFonts w:ascii="Arial" w:hAnsi="Arial" w:cs="Arial"/>
          <w:vanish/>
        </w:rPr>
      </w:pPr>
    </w:p>
    <w:p w:rsidR="0092455F" w:rsidRDefault="0092455F" w:rsidP="002907C8">
      <w:pPr>
        <w:pStyle w:val="Tpico2"/>
        <w:tabs>
          <w:tab w:val="clear" w:pos="1033"/>
          <w:tab w:val="left" w:pos="567"/>
        </w:tabs>
        <w:ind w:left="0" w:right="-1" w:firstLine="0"/>
      </w:pPr>
      <w:r>
        <w:t xml:space="preserve">Quando a natureza da demanda permitir, o CRM-PR poderá dividir a execução entre as agências contratadas, especialmente em ações </w:t>
      </w:r>
      <w:r>
        <w:lastRenderedPageBreak/>
        <w:t>simultâneas, campanhas com frentes distintas, desdobramentos técnicos autônomos, demandas de grande volume ou iniciativas que recomendem atuação complementar.</w:t>
      </w:r>
    </w:p>
    <w:p w:rsidR="0092455F" w:rsidRDefault="0092455F" w:rsidP="002907C8">
      <w:pPr>
        <w:pStyle w:val="Tpico2"/>
        <w:tabs>
          <w:tab w:val="clear" w:pos="1033"/>
          <w:tab w:val="left" w:pos="567"/>
        </w:tabs>
        <w:ind w:left="0" w:right="-1" w:firstLine="0"/>
      </w:pPr>
      <w:r>
        <w:t>A divisão da demanda deverá observar a conveniência administrativa, a eficiência da execução e a adequada definição das responsabilidades de cada agência.</w:t>
      </w:r>
    </w:p>
    <w:p w:rsidR="0092455F" w:rsidRDefault="0092455F" w:rsidP="002907C8">
      <w:pPr>
        <w:pStyle w:val="Tpico2"/>
        <w:tabs>
          <w:tab w:val="clear" w:pos="1033"/>
          <w:tab w:val="left" w:pos="567"/>
        </w:tabs>
        <w:ind w:left="0" w:right="-1" w:firstLine="0"/>
      </w:pPr>
      <w:r>
        <w:t>A ordem de serviço ou documento equivalente deverá indicar, sempre que possível, as entregas atribuídas a cada agência, os prazos, os produtos publicitários esperados, os responsáveis por cada entrega e os critérios de medição e pagamento.</w:t>
      </w:r>
    </w:p>
    <w:p w:rsidR="000D7239" w:rsidRDefault="0092455F" w:rsidP="002907C8">
      <w:pPr>
        <w:pStyle w:val="Tpico2"/>
        <w:tabs>
          <w:tab w:val="clear" w:pos="1033"/>
          <w:tab w:val="left" w:pos="567"/>
        </w:tabs>
        <w:ind w:left="0" w:right="-1" w:firstLine="0"/>
      </w:pPr>
      <w:r>
        <w:t>A divisão ou integração de demandas não gera direito à compensação futura, rodízio, equilíbrio financeiro entre as agências ou distribuição proporcional de valores.</w:t>
      </w:r>
    </w:p>
    <w:p w:rsidR="000D7239" w:rsidRPr="005F2EAB" w:rsidRDefault="0092455F" w:rsidP="002907C8">
      <w:pPr>
        <w:pStyle w:val="PargrafodaLista"/>
        <w:numPr>
          <w:ilvl w:val="0"/>
          <w:numId w:val="2"/>
        </w:numPr>
        <w:tabs>
          <w:tab w:val="left" w:pos="284"/>
        </w:tabs>
        <w:spacing w:before="240" w:line="360" w:lineRule="auto"/>
        <w:ind w:left="0" w:right="-1" w:firstLine="0"/>
        <w:jc w:val="both"/>
        <w:outlineLvl w:val="0"/>
        <w:rPr>
          <w:rFonts w:ascii="Arial" w:hAnsi="Arial" w:cs="Arial"/>
          <w:b/>
          <w:bCs/>
        </w:rPr>
      </w:pPr>
      <w:r w:rsidRPr="0092455F">
        <w:rPr>
          <w:rFonts w:ascii="Arial" w:hAnsi="Arial" w:cs="Arial"/>
          <w:b/>
          <w:bCs/>
        </w:rPr>
        <w:t>CONTINUIDADE TÉCNICA</w:t>
      </w:r>
    </w:p>
    <w:p w:rsidR="000D7239" w:rsidRPr="005F2EAB" w:rsidRDefault="000D7239" w:rsidP="002907C8">
      <w:pPr>
        <w:pStyle w:val="PargrafodaLista"/>
        <w:numPr>
          <w:ilvl w:val="0"/>
          <w:numId w:val="1"/>
        </w:numPr>
        <w:tabs>
          <w:tab w:val="left" w:pos="1033"/>
        </w:tabs>
        <w:spacing w:before="121" w:line="360" w:lineRule="auto"/>
        <w:ind w:left="0" w:right="-1"/>
        <w:contextualSpacing w:val="0"/>
        <w:jc w:val="both"/>
        <w:rPr>
          <w:rFonts w:ascii="Arial" w:hAnsi="Arial" w:cs="Arial"/>
          <w:vanish/>
        </w:rPr>
      </w:pPr>
    </w:p>
    <w:p w:rsidR="0092455F" w:rsidRDefault="0092455F" w:rsidP="002907C8">
      <w:pPr>
        <w:pStyle w:val="Tpico2"/>
        <w:tabs>
          <w:tab w:val="clear" w:pos="1033"/>
          <w:tab w:val="left" w:pos="567"/>
        </w:tabs>
        <w:ind w:left="0" w:right="-1" w:firstLine="0"/>
      </w:pPr>
      <w:r>
        <w:t>Sempre que determinada demanda decorrer de campanha, ação, conceito, identidade, narrativa, estratégia ou solução anteriormente desenvolvida por uma das agências, o CRM-PR poderá atribuir sua execução à mesma agência, com fundamento na continuidade técnica.</w:t>
      </w:r>
    </w:p>
    <w:p w:rsidR="0092455F" w:rsidRDefault="0092455F" w:rsidP="002907C8">
      <w:pPr>
        <w:pStyle w:val="Tpico2"/>
        <w:tabs>
          <w:tab w:val="clear" w:pos="1033"/>
          <w:tab w:val="left" w:pos="567"/>
        </w:tabs>
        <w:ind w:left="0" w:right="-1" w:firstLine="0"/>
      </w:pPr>
      <w:r>
        <w:t>A continuidade técnica poderá justificar o acionamento da mesma agência quando a mudança de executora puder comprometer a unidade criativa, a coerência estratégica, a tempestividade da execução, a economia de esforços ou a qualidade da entrega.</w:t>
      </w:r>
    </w:p>
    <w:p w:rsidR="000D7239" w:rsidRDefault="0092455F" w:rsidP="002907C8">
      <w:pPr>
        <w:pStyle w:val="Tpico2"/>
        <w:tabs>
          <w:tab w:val="clear" w:pos="1033"/>
          <w:tab w:val="left" w:pos="567"/>
        </w:tabs>
        <w:ind w:left="0" w:right="-1" w:firstLine="0"/>
      </w:pPr>
      <w:r>
        <w:t>A continuidade técnica deverá ser registrada de forma sucinta, com indicação da ação anterior relacionada e da razão pela qual a manutenção da agência se mostra adequada ao interesse institucional.</w:t>
      </w:r>
    </w:p>
    <w:p w:rsidR="000D7239" w:rsidRPr="000462ED" w:rsidRDefault="0092455F" w:rsidP="002907C8">
      <w:pPr>
        <w:pStyle w:val="PargrafodaLista"/>
        <w:numPr>
          <w:ilvl w:val="0"/>
          <w:numId w:val="2"/>
        </w:numPr>
        <w:tabs>
          <w:tab w:val="left" w:pos="284"/>
        </w:tabs>
        <w:spacing w:before="240" w:line="360" w:lineRule="auto"/>
        <w:ind w:left="0" w:right="-1" w:firstLine="0"/>
        <w:jc w:val="both"/>
        <w:outlineLvl w:val="0"/>
        <w:rPr>
          <w:rFonts w:ascii="Arial" w:hAnsi="Arial" w:cs="Arial"/>
          <w:b/>
          <w:bCs/>
        </w:rPr>
      </w:pPr>
      <w:r w:rsidRPr="0092455F">
        <w:rPr>
          <w:rFonts w:ascii="Arial" w:hAnsi="Arial" w:cs="Arial"/>
          <w:b/>
          <w:bCs/>
        </w:rPr>
        <w:t>REGISTRO DA MOTIVAÇÃO</w:t>
      </w:r>
    </w:p>
    <w:p w:rsidR="000D7239" w:rsidRPr="00815C3F" w:rsidRDefault="000D7239" w:rsidP="002907C8">
      <w:pPr>
        <w:pStyle w:val="PargrafodaLista"/>
        <w:numPr>
          <w:ilvl w:val="0"/>
          <w:numId w:val="1"/>
        </w:numPr>
        <w:tabs>
          <w:tab w:val="left" w:pos="1033"/>
        </w:tabs>
        <w:spacing w:before="121" w:line="360" w:lineRule="auto"/>
        <w:ind w:left="0" w:right="-1"/>
        <w:contextualSpacing w:val="0"/>
        <w:jc w:val="both"/>
        <w:rPr>
          <w:rFonts w:ascii="Arial" w:hAnsi="Arial" w:cs="Arial"/>
          <w:vanish/>
        </w:rPr>
      </w:pPr>
    </w:p>
    <w:p w:rsidR="0092455F" w:rsidRDefault="0092455F" w:rsidP="002907C8">
      <w:pPr>
        <w:pStyle w:val="Tpico2"/>
        <w:tabs>
          <w:tab w:val="clear" w:pos="1033"/>
          <w:tab w:val="left" w:pos="567"/>
        </w:tabs>
        <w:ind w:left="0" w:right="-1" w:firstLine="0"/>
      </w:pPr>
      <w:r>
        <w:t>Toda distribuição de demanda deverá ser registrada em documento próprio, despacho, ordem de serviço, e-mail institucional ou expediente equivalente.</w:t>
      </w:r>
    </w:p>
    <w:p w:rsidR="0092455F" w:rsidRDefault="0092455F" w:rsidP="002907C8">
      <w:pPr>
        <w:pStyle w:val="Tpico2"/>
        <w:tabs>
          <w:tab w:val="clear" w:pos="1033"/>
          <w:tab w:val="left" w:pos="567"/>
        </w:tabs>
        <w:ind w:left="0" w:right="-1" w:firstLine="0"/>
      </w:pPr>
      <w:r>
        <w:lastRenderedPageBreak/>
        <w:t>O registro deverá conter, no mínimo:</w:t>
      </w:r>
    </w:p>
    <w:p w:rsidR="0092455F" w:rsidRPr="002907C8" w:rsidRDefault="0092455F" w:rsidP="002907C8">
      <w:pPr>
        <w:pStyle w:val="Tpico3"/>
        <w:tabs>
          <w:tab w:val="clear" w:pos="1033"/>
          <w:tab w:val="left" w:pos="709"/>
          <w:tab w:val="left" w:pos="1276"/>
        </w:tabs>
        <w:ind w:left="567" w:right="-1" w:firstLine="0"/>
        <w:rPr>
          <w:iCs/>
          <w:lang w:val="pt-BR"/>
        </w:rPr>
      </w:pPr>
      <w:r w:rsidRPr="002907C8">
        <w:rPr>
          <w:iCs/>
          <w:lang w:val="pt-BR"/>
        </w:rPr>
        <w:t>identificação da demanda;</w:t>
      </w:r>
    </w:p>
    <w:p w:rsidR="0092455F" w:rsidRPr="002907C8" w:rsidRDefault="0092455F" w:rsidP="002907C8">
      <w:pPr>
        <w:pStyle w:val="Tpico3"/>
        <w:tabs>
          <w:tab w:val="clear" w:pos="1033"/>
          <w:tab w:val="left" w:pos="709"/>
          <w:tab w:val="left" w:pos="1276"/>
        </w:tabs>
        <w:ind w:left="567" w:right="-1" w:firstLine="0"/>
        <w:rPr>
          <w:iCs/>
          <w:lang w:val="pt-BR"/>
        </w:rPr>
      </w:pPr>
      <w:r w:rsidRPr="002907C8">
        <w:rPr>
          <w:iCs/>
          <w:lang w:val="pt-BR"/>
        </w:rPr>
        <w:t>agência acionada ou selecionada;</w:t>
      </w:r>
    </w:p>
    <w:p w:rsidR="0092455F" w:rsidRPr="002907C8" w:rsidRDefault="0092455F" w:rsidP="002907C8">
      <w:pPr>
        <w:pStyle w:val="Tpico3"/>
        <w:tabs>
          <w:tab w:val="clear" w:pos="1033"/>
          <w:tab w:val="left" w:pos="709"/>
          <w:tab w:val="left" w:pos="1276"/>
        </w:tabs>
        <w:ind w:left="567" w:right="-1" w:firstLine="0"/>
        <w:rPr>
          <w:iCs/>
          <w:lang w:val="pt-BR"/>
        </w:rPr>
      </w:pPr>
      <w:r w:rsidRPr="002907C8">
        <w:rPr>
          <w:iCs/>
          <w:lang w:val="pt-BR"/>
        </w:rPr>
        <w:t>forma de acionamento adotada;</w:t>
      </w:r>
    </w:p>
    <w:p w:rsidR="0092455F" w:rsidRPr="002907C8" w:rsidRDefault="0092455F" w:rsidP="002907C8">
      <w:pPr>
        <w:pStyle w:val="Tpico3"/>
        <w:tabs>
          <w:tab w:val="clear" w:pos="1033"/>
          <w:tab w:val="left" w:pos="709"/>
          <w:tab w:val="left" w:pos="1276"/>
        </w:tabs>
        <w:ind w:left="567" w:right="-1" w:firstLine="0"/>
        <w:rPr>
          <w:iCs/>
          <w:lang w:val="pt-BR"/>
        </w:rPr>
      </w:pPr>
      <w:r w:rsidRPr="002907C8">
        <w:rPr>
          <w:iCs/>
          <w:lang w:val="pt-BR"/>
        </w:rPr>
        <w:t>síntese da motivação da escolha;</w:t>
      </w:r>
    </w:p>
    <w:p w:rsidR="0092455F" w:rsidRPr="002907C8" w:rsidRDefault="0092455F" w:rsidP="002907C8">
      <w:pPr>
        <w:pStyle w:val="Tpico3"/>
        <w:tabs>
          <w:tab w:val="clear" w:pos="1033"/>
          <w:tab w:val="left" w:pos="709"/>
          <w:tab w:val="left" w:pos="1276"/>
        </w:tabs>
        <w:ind w:left="567" w:right="-1" w:firstLine="0"/>
        <w:rPr>
          <w:iCs/>
          <w:lang w:val="pt-BR"/>
        </w:rPr>
      </w:pPr>
      <w:r w:rsidRPr="002907C8">
        <w:rPr>
          <w:iCs/>
          <w:lang w:val="pt-BR"/>
        </w:rPr>
        <w:t>valor estimado, quando disponível;</w:t>
      </w:r>
    </w:p>
    <w:p w:rsidR="0092455F" w:rsidRPr="002907C8" w:rsidRDefault="0092455F" w:rsidP="002907C8">
      <w:pPr>
        <w:pStyle w:val="Tpico3"/>
        <w:tabs>
          <w:tab w:val="clear" w:pos="1033"/>
          <w:tab w:val="left" w:pos="709"/>
          <w:tab w:val="left" w:pos="1276"/>
        </w:tabs>
        <w:ind w:left="567" w:right="-1" w:firstLine="0"/>
        <w:rPr>
          <w:iCs/>
          <w:lang w:val="pt-BR"/>
        </w:rPr>
      </w:pPr>
      <w:r w:rsidRPr="002907C8">
        <w:rPr>
          <w:iCs/>
          <w:lang w:val="pt-BR"/>
        </w:rPr>
        <w:t>documentos de suporte, quando existentes.</w:t>
      </w:r>
    </w:p>
    <w:p w:rsidR="000D7239" w:rsidRPr="00D23207" w:rsidRDefault="0092455F" w:rsidP="002907C8">
      <w:pPr>
        <w:pStyle w:val="Tpico2"/>
        <w:tabs>
          <w:tab w:val="clear" w:pos="1033"/>
          <w:tab w:val="left" w:pos="567"/>
        </w:tabs>
        <w:ind w:left="0" w:right="-1" w:firstLine="0"/>
      </w:pPr>
      <w:r>
        <w:t>A motivação poderá ser sucinta, desde que suficiente para demonstrar a compatibilidade da escolha com o interesse público, com a natureza da demanda e com as diretrizes deste Manual.</w:t>
      </w:r>
    </w:p>
    <w:p w:rsidR="000D7239" w:rsidRPr="00052085" w:rsidRDefault="0092455F" w:rsidP="002907C8">
      <w:pPr>
        <w:pStyle w:val="PargrafodaLista"/>
        <w:numPr>
          <w:ilvl w:val="0"/>
          <w:numId w:val="2"/>
        </w:numPr>
        <w:tabs>
          <w:tab w:val="left" w:pos="284"/>
        </w:tabs>
        <w:spacing w:before="240" w:line="360" w:lineRule="auto"/>
        <w:ind w:left="0" w:right="-1" w:firstLine="0"/>
        <w:jc w:val="both"/>
        <w:outlineLvl w:val="0"/>
        <w:rPr>
          <w:rFonts w:ascii="Arial" w:hAnsi="Arial" w:cs="Arial"/>
          <w:b/>
          <w:bCs/>
        </w:rPr>
      </w:pPr>
      <w:r w:rsidRPr="0092455F">
        <w:rPr>
          <w:rFonts w:ascii="Arial" w:hAnsi="Arial" w:cs="Arial"/>
          <w:b/>
          <w:bCs/>
        </w:rPr>
        <w:t>DISPOSIÇÕES FINAIS</w:t>
      </w:r>
    </w:p>
    <w:p w:rsidR="000D7239" w:rsidRPr="00052085" w:rsidRDefault="000D7239" w:rsidP="002907C8">
      <w:pPr>
        <w:pStyle w:val="PargrafodaLista"/>
        <w:numPr>
          <w:ilvl w:val="0"/>
          <w:numId w:val="1"/>
        </w:numPr>
        <w:tabs>
          <w:tab w:val="left" w:pos="1033"/>
        </w:tabs>
        <w:spacing w:before="121" w:line="360" w:lineRule="auto"/>
        <w:ind w:left="0" w:right="-1"/>
        <w:contextualSpacing w:val="0"/>
        <w:jc w:val="both"/>
        <w:rPr>
          <w:rFonts w:ascii="Arial" w:hAnsi="Arial" w:cs="Arial"/>
          <w:b/>
          <w:bCs/>
          <w:vanish/>
        </w:rPr>
      </w:pPr>
    </w:p>
    <w:p w:rsidR="0092455F" w:rsidRDefault="0092455F" w:rsidP="002907C8">
      <w:pPr>
        <w:pStyle w:val="Tpico2"/>
        <w:tabs>
          <w:tab w:val="clear" w:pos="1033"/>
          <w:tab w:val="left" w:pos="567"/>
        </w:tabs>
        <w:ind w:left="0" w:right="-1" w:firstLine="0"/>
      </w:pPr>
      <w:r>
        <w:t>As hipóteses não previstas neste Manual serão decididas pela Administração, mediante motivação formal, observados o Edital, o Termo de Referência, o contrato, a legislação aplicável e os princípios que regem as contratações públicas.</w:t>
      </w:r>
    </w:p>
    <w:p w:rsidR="0092455F" w:rsidRDefault="0092455F" w:rsidP="002907C8">
      <w:pPr>
        <w:pStyle w:val="Tpico2"/>
        <w:tabs>
          <w:tab w:val="clear" w:pos="1033"/>
          <w:tab w:val="left" w:pos="567"/>
        </w:tabs>
        <w:ind w:left="0" w:right="-1" w:firstLine="0"/>
      </w:pPr>
      <w:r>
        <w:t>A seleção interna prevista neste Manual possui natureza administrativa de distribuição de demandas entre contratadas, não se confundindo com novo procedimento licitatório.</w:t>
      </w:r>
    </w:p>
    <w:p w:rsidR="0092455F" w:rsidRDefault="0092455F" w:rsidP="002907C8">
      <w:pPr>
        <w:pStyle w:val="Tpico2"/>
        <w:tabs>
          <w:tab w:val="clear" w:pos="1033"/>
          <w:tab w:val="left" w:pos="567"/>
        </w:tabs>
        <w:ind w:left="0" w:right="-1" w:firstLine="0"/>
      </w:pPr>
      <w:r>
        <w:t>O procedimento de acionamento ou seleção interna não afasta a obrigação de observância das regras relativas à aprovação prévia de demandas, fornecedores especializados, comprovação de custos, direitos autorais, prestação de contas, critérios de medição e pagamento e demais obrigações previstas no Termo de Referência e no contrato.</w:t>
      </w:r>
    </w:p>
    <w:p w:rsidR="000D7239" w:rsidRDefault="0092455F" w:rsidP="002907C8">
      <w:pPr>
        <w:pStyle w:val="Tpico2"/>
        <w:tabs>
          <w:tab w:val="clear" w:pos="1033"/>
          <w:tab w:val="left" w:pos="567"/>
        </w:tabs>
        <w:ind w:left="0" w:right="-1" w:firstLine="0"/>
      </w:pPr>
      <w:r>
        <w:t>Este Manu</w:t>
      </w:r>
      <w:r w:rsidR="0013744A">
        <w:t xml:space="preserve">al integra o Edital como Anexo </w:t>
      </w:r>
      <w:r>
        <w:t>V e vincula a Administração, as agências contratadas, os gestores, fiscais e demais agentes envolvidos na execução contratual.</w:t>
      </w:r>
    </w:p>
    <w:sectPr w:rsidR="000D7239" w:rsidSect="00E94853">
      <w:headerReference w:type="default" r:id="rId7"/>
      <w:pgSz w:w="11906" w:h="16838"/>
      <w:pgMar w:top="2236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5B28" w:rsidRDefault="00215B28" w:rsidP="002907C8">
      <w:r>
        <w:separator/>
      </w:r>
    </w:p>
  </w:endnote>
  <w:endnote w:type="continuationSeparator" w:id="0">
    <w:p w:rsidR="00215B28" w:rsidRDefault="00215B28" w:rsidP="002907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pto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5B28" w:rsidRDefault="00215B28" w:rsidP="002907C8">
      <w:r>
        <w:separator/>
      </w:r>
    </w:p>
  </w:footnote>
  <w:footnote w:type="continuationSeparator" w:id="0">
    <w:p w:rsidR="00215B28" w:rsidRDefault="00215B28" w:rsidP="002907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07C8" w:rsidRDefault="002907C8">
    <w:pPr>
      <w:pStyle w:val="Cabealho"/>
    </w:pPr>
    <w:r w:rsidRPr="002907C8">
      <w:drawing>
        <wp:inline distT="0" distB="0" distL="0" distR="0">
          <wp:extent cx="5400040" cy="653879"/>
          <wp:effectExtent l="19050" t="0" r="0" b="0"/>
          <wp:docPr id="4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ABEÇALH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65387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B2253"/>
    <w:multiLevelType w:val="hybridMultilevel"/>
    <w:tmpl w:val="24E271FE"/>
    <w:lvl w:ilvl="0" w:tplc="B248E01E">
      <w:start w:val="1"/>
      <w:numFmt w:val="decimal"/>
      <w:lvlText w:val="%1."/>
      <w:lvlJc w:val="left"/>
      <w:pPr>
        <w:ind w:left="360" w:hanging="360"/>
      </w:pPr>
      <w:rPr>
        <w:rFonts w:hint="default"/>
        <w:lang w:val="pt-BR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F7A53D1"/>
    <w:multiLevelType w:val="multilevel"/>
    <w:tmpl w:val="FD8EE2B8"/>
    <w:lvl w:ilvl="0">
      <w:start w:val="1"/>
      <w:numFmt w:val="decimal"/>
      <w:lvlText w:val="%1"/>
      <w:lvlJc w:val="left"/>
      <w:pPr>
        <w:ind w:left="141" w:hanging="428"/>
      </w:pPr>
      <w:rPr>
        <w:rFonts w:hint="default"/>
        <w:lang w:val="pt-PT" w:eastAsia="en-US" w:bidi="ar-SA"/>
      </w:rPr>
    </w:lvl>
    <w:lvl w:ilvl="1">
      <w:start w:val="1"/>
      <w:numFmt w:val="decimal"/>
      <w:pStyle w:val="Tpico2"/>
      <w:lvlText w:val="%1.%2."/>
      <w:lvlJc w:val="left"/>
      <w:pPr>
        <w:ind w:left="141" w:hanging="428"/>
      </w:pPr>
      <w:rPr>
        <w:b/>
        <w:bCs/>
        <w:lang w:val="pt-PT" w:bidi="ar-SA"/>
      </w:rPr>
    </w:lvl>
    <w:lvl w:ilvl="2">
      <w:start w:val="1"/>
      <w:numFmt w:val="decimal"/>
      <w:pStyle w:val="Tpico3"/>
      <w:lvlText w:val="%1.%2.%3."/>
      <w:lvlJc w:val="left"/>
      <w:pPr>
        <w:ind w:left="3587" w:hanging="609"/>
      </w:pPr>
      <w:rPr>
        <w:rFonts w:ascii="Arial" w:eastAsia="Times New Roman" w:hAnsi="Arial" w:cs="Arial" w:hint="default"/>
        <w:b/>
        <w:bCs/>
        <w:i/>
        <w:iCs/>
        <w:spacing w:val="0"/>
        <w:w w:val="100"/>
        <w:sz w:val="24"/>
        <w:szCs w:val="24"/>
        <w:lang w:val="pt-BR" w:eastAsia="en-US" w:bidi="ar-SA"/>
      </w:rPr>
    </w:lvl>
    <w:lvl w:ilvl="3">
      <w:start w:val="1"/>
      <w:numFmt w:val="decimal"/>
      <w:pStyle w:val="Tpico5"/>
      <w:lvlText w:val="%1.%2.%3.%4."/>
      <w:lvlJc w:val="left"/>
      <w:pPr>
        <w:ind w:left="709" w:hanging="789"/>
      </w:pPr>
      <w:rPr>
        <w:rFonts w:ascii="Arial" w:eastAsia="Times New Roman" w:hAnsi="Arial" w:cs="Arial" w:hint="default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2829" w:hanging="78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893" w:hanging="78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958" w:hanging="78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022" w:hanging="78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7" w:hanging="789"/>
      </w:pPr>
      <w:rPr>
        <w:rFonts w:hint="default"/>
        <w:lang w:val="pt-PT" w:eastAsia="en-US" w:bidi="ar-SA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B4020"/>
    <w:rsid w:val="000D7239"/>
    <w:rsid w:val="0013744A"/>
    <w:rsid w:val="001B4020"/>
    <w:rsid w:val="001D0E66"/>
    <w:rsid w:val="00215B28"/>
    <w:rsid w:val="002907C8"/>
    <w:rsid w:val="00360C6B"/>
    <w:rsid w:val="003E3B5F"/>
    <w:rsid w:val="008341B9"/>
    <w:rsid w:val="0092455F"/>
    <w:rsid w:val="00A9325A"/>
    <w:rsid w:val="00E948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BR" w:eastAsia="ja-JP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7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:lang w:val="pt-PT" w:eastAsia="en-US"/>
    </w:rPr>
  </w:style>
  <w:style w:type="paragraph" w:styleId="Ttulo1">
    <w:name w:val="heading 1"/>
    <w:basedOn w:val="Normal"/>
    <w:next w:val="Normal"/>
    <w:link w:val="Ttulo1Char"/>
    <w:uiPriority w:val="9"/>
    <w:qFormat/>
    <w:rsid w:val="001B40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40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40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40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40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B402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402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402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402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402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402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402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402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4020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B4020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4020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4020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402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1B402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1B40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1B40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1B40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1B40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1B4020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1B4020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1B4020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B40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1B4020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1B4020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0D7239"/>
    <w:pPr>
      <w:widowControl w:val="0"/>
      <w:autoSpaceDE w:val="0"/>
      <w:autoSpaceDN w:val="0"/>
      <w:spacing w:after="0" w:line="240" w:lineRule="auto"/>
    </w:pPr>
    <w:rPr>
      <w:rFonts w:eastAsiaTheme="minorHAnsi"/>
      <w:kern w:val="0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pico2">
    <w:name w:val="Tópico 2"/>
    <w:basedOn w:val="Tpico3"/>
    <w:autoRedefine/>
    <w:uiPriority w:val="1"/>
    <w:qFormat/>
    <w:rsid w:val="000D7239"/>
    <w:pPr>
      <w:numPr>
        <w:ilvl w:val="1"/>
      </w:numPr>
    </w:pPr>
  </w:style>
  <w:style w:type="paragraph" w:customStyle="1" w:styleId="Tpico3">
    <w:name w:val="Tópico 3"/>
    <w:basedOn w:val="Normal"/>
    <w:link w:val="Tpico3Char"/>
    <w:uiPriority w:val="1"/>
    <w:qFormat/>
    <w:rsid w:val="000D7239"/>
    <w:pPr>
      <w:numPr>
        <w:ilvl w:val="2"/>
        <w:numId w:val="1"/>
      </w:numPr>
      <w:tabs>
        <w:tab w:val="left" w:pos="1033"/>
      </w:tabs>
      <w:spacing w:before="121" w:line="360" w:lineRule="auto"/>
      <w:ind w:right="418"/>
      <w:jc w:val="both"/>
    </w:pPr>
    <w:rPr>
      <w:rFonts w:ascii="Arial" w:hAnsi="Arial" w:cs="Arial"/>
      <w:sz w:val="24"/>
      <w:szCs w:val="24"/>
    </w:rPr>
  </w:style>
  <w:style w:type="character" w:customStyle="1" w:styleId="Tpico3Char">
    <w:name w:val="Tópico 3 Char"/>
    <w:basedOn w:val="Fontepargpadro"/>
    <w:link w:val="Tpico3"/>
    <w:uiPriority w:val="1"/>
    <w:rsid w:val="000D7239"/>
    <w:rPr>
      <w:rFonts w:ascii="Arial" w:eastAsia="Times New Roman" w:hAnsi="Arial" w:cs="Arial"/>
      <w:kern w:val="0"/>
      <w:lang w:val="pt-PT" w:eastAsia="en-US"/>
    </w:rPr>
  </w:style>
  <w:style w:type="paragraph" w:customStyle="1" w:styleId="Tpico5">
    <w:name w:val="Tópico 5"/>
    <w:basedOn w:val="Normal"/>
    <w:uiPriority w:val="1"/>
    <w:qFormat/>
    <w:rsid w:val="000D7239"/>
    <w:pPr>
      <w:numPr>
        <w:ilvl w:val="3"/>
        <w:numId w:val="1"/>
      </w:numPr>
      <w:tabs>
        <w:tab w:val="left" w:pos="1497"/>
      </w:tabs>
      <w:spacing w:before="120" w:line="360" w:lineRule="auto"/>
      <w:ind w:right="430"/>
      <w:jc w:val="both"/>
    </w:pPr>
    <w:rPr>
      <w:rFonts w:ascii="Arial" w:hAnsi="Arial" w:cs="Arial"/>
      <w:i/>
      <w:iCs/>
      <w:sz w:val="24"/>
      <w:szCs w:val="24"/>
    </w:rPr>
  </w:style>
  <w:style w:type="paragraph" w:styleId="Cabealho">
    <w:name w:val="header"/>
    <w:basedOn w:val="Normal"/>
    <w:link w:val="CabealhoChar"/>
    <w:uiPriority w:val="99"/>
    <w:semiHidden/>
    <w:unhideWhenUsed/>
    <w:rsid w:val="002907C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2907C8"/>
    <w:rPr>
      <w:rFonts w:ascii="Times New Roman" w:eastAsia="Times New Roman" w:hAnsi="Times New Roman" w:cs="Times New Roman"/>
      <w:kern w:val="0"/>
      <w:sz w:val="22"/>
      <w:szCs w:val="22"/>
      <w:lang w:val="pt-PT" w:eastAsia="en-US"/>
    </w:rPr>
  </w:style>
  <w:style w:type="paragraph" w:styleId="Rodap">
    <w:name w:val="footer"/>
    <w:basedOn w:val="Normal"/>
    <w:link w:val="RodapChar"/>
    <w:uiPriority w:val="99"/>
    <w:semiHidden/>
    <w:unhideWhenUsed/>
    <w:rsid w:val="002907C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2907C8"/>
    <w:rPr>
      <w:rFonts w:ascii="Times New Roman" w:eastAsia="Times New Roman" w:hAnsi="Times New Roman" w:cs="Times New Roman"/>
      <w:kern w:val="0"/>
      <w:sz w:val="22"/>
      <w:szCs w:val="22"/>
      <w:lang w:val="pt-PT"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907C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907C8"/>
    <w:rPr>
      <w:rFonts w:ascii="Tahoma" w:eastAsia="Times New Roman" w:hAnsi="Tahoma" w:cs="Tahoma"/>
      <w:kern w:val="0"/>
      <w:sz w:val="16"/>
      <w:szCs w:val="16"/>
      <w:lang w:val="pt-PT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1387</Words>
  <Characters>7496</Characters>
  <Application>Microsoft Office Word</Application>
  <DocSecurity>0</DocSecurity>
  <Lines>62</Lines>
  <Paragraphs>17</Paragraphs>
  <ScaleCrop>false</ScaleCrop>
  <Company/>
  <LinksUpToDate>false</LinksUpToDate>
  <CharactersWithSpaces>8866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 Müller Cândido</dc:creator>
  <cp:keywords/>
  <dc:description/>
  <cp:lastModifiedBy>jacinta.guimaraes</cp:lastModifiedBy>
  <cp:revision>8</cp:revision>
  <dcterms:created xsi:type="dcterms:W3CDTF">2026-05-30T18:22:00Z</dcterms:created>
  <dcterms:modified xsi:type="dcterms:W3CDTF">2026-06-03T17:58:00Z</dcterms:modified>
</cp:coreProperties>
</file>